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2EC1" w14:textId="77777777" w:rsidR="003E57D7" w:rsidRPr="00B23FAC" w:rsidRDefault="00AD70CD">
      <w:pPr>
        <w:spacing w:before="280" w:after="280"/>
        <w:rPr>
          <w:rFonts w:ascii="Times New Roman" w:eastAsia="Palatino Linotype" w:hAnsi="Times New Roman" w:cs="Times New Roman"/>
          <w:i/>
        </w:rPr>
      </w:pPr>
      <w:r w:rsidRPr="00B23FAC">
        <w:rPr>
          <w:rFonts w:ascii="Times New Roman" w:eastAsia="Palatino Linotype" w:hAnsi="Times New Roman" w:cs="Times New Roman"/>
          <w:b/>
        </w:rPr>
        <w:t xml:space="preserve">Supplementary </w:t>
      </w:r>
      <w:r w:rsidR="00D953D7" w:rsidRPr="00B23FAC">
        <w:rPr>
          <w:rFonts w:ascii="Times New Roman" w:eastAsia="Palatino Linotype" w:hAnsi="Times New Roman" w:cs="Times New Roman"/>
          <w:b/>
        </w:rPr>
        <w:t>Table 1</w:t>
      </w:r>
      <w:r w:rsidR="007D74DA" w:rsidRPr="00B23FAC">
        <w:rPr>
          <w:rFonts w:ascii="Times New Roman" w:eastAsia="Palatino Linotype" w:hAnsi="Times New Roman" w:cs="Times New Roman"/>
          <w:b/>
        </w:rPr>
        <w:t>C</w:t>
      </w:r>
      <w:r w:rsidR="0061489A" w:rsidRPr="00B23FAC">
        <w:rPr>
          <w:rFonts w:ascii="Times New Roman" w:eastAsia="Palatino Linotype" w:hAnsi="Times New Roman" w:cs="Times New Roman"/>
        </w:rPr>
        <w:t>.</w:t>
      </w:r>
      <w:r w:rsidR="00D953D7" w:rsidRPr="00B23FAC">
        <w:rPr>
          <w:rFonts w:ascii="Times New Roman" w:eastAsia="Palatino Linotype" w:hAnsi="Times New Roman" w:cs="Times New Roman"/>
        </w:rPr>
        <w:t xml:space="preserve"> Literature analysis after PICOS selection: summary of the studies in alphabetical order for first author</w:t>
      </w:r>
      <w:r w:rsidR="00A809F7" w:rsidRPr="00B23FAC">
        <w:rPr>
          <w:rFonts w:ascii="Times New Roman" w:eastAsia="Palatino Linotype" w:hAnsi="Times New Roman" w:cs="Times New Roman"/>
        </w:rPr>
        <w:t xml:space="preserve"> </w:t>
      </w:r>
      <w:r w:rsidR="00D953D7" w:rsidRPr="00B23FAC">
        <w:rPr>
          <w:rFonts w:ascii="Times New Roman" w:eastAsia="Palatino Linotype" w:hAnsi="Times New Roman" w:cs="Times New Roman"/>
        </w:rPr>
        <w:t>and evidence grading for each study that reported mental health outcomes of GnRHa treatment.</w:t>
      </w:r>
      <w:r w:rsidR="00D953D7" w:rsidRPr="00B23FAC">
        <w:rPr>
          <w:rFonts w:ascii="Times New Roman" w:eastAsia="Palatino Linotype" w:hAnsi="Times New Roman" w:cs="Times New Roman"/>
          <w:i/>
        </w:rPr>
        <w:t xml:space="preserve"> Data are expressed as </w:t>
      </w:r>
      <w:proofErr w:type="spellStart"/>
      <w:r w:rsidR="00D953D7" w:rsidRPr="00B23FAC">
        <w:rPr>
          <w:rFonts w:ascii="Times New Roman" w:eastAsia="Palatino Linotype" w:hAnsi="Times New Roman" w:cs="Times New Roman"/>
          <w:i/>
        </w:rPr>
        <w:t>mean±SD</w:t>
      </w:r>
      <w:proofErr w:type="spellEnd"/>
      <w:r w:rsidR="00D953D7" w:rsidRPr="00B23FAC">
        <w:rPr>
          <w:rFonts w:ascii="Times New Roman" w:eastAsia="Palatino Linotype" w:hAnsi="Times New Roman" w:cs="Times New Roman"/>
          <w:i/>
        </w:rPr>
        <w:t xml:space="preserve">, unless otherwise stated.  </w:t>
      </w:r>
    </w:p>
    <w:p w14:paraId="27F2A730" w14:textId="77777777" w:rsidR="009B4180" w:rsidRPr="00B23FAC" w:rsidRDefault="009B4180">
      <w:pPr>
        <w:spacing w:before="280" w:after="280"/>
        <w:rPr>
          <w:rFonts w:ascii="Times New Roman" w:eastAsia="Palatino Linotype" w:hAnsi="Times New Roman" w:cs="Times New Roman"/>
          <w:sz w:val="20"/>
          <w:szCs w:val="20"/>
        </w:rPr>
      </w:pPr>
      <w:r w:rsidRPr="00B23FAC">
        <w:rPr>
          <w:rFonts w:ascii="Times New Roman" w:eastAsia="Palatino Linotype" w:hAnsi="Times New Roman" w:cs="Times New Roman"/>
          <w:sz w:val="20"/>
          <w:szCs w:val="20"/>
        </w:rPr>
        <w:t>Abbreviations: ABCL: Adult Behavior Checklist; AFAB: Assigned Female At Birth; AMAB: Assigned Male At Birth; BDI: Beck Depression Inventory; BIS: Body Image Scale; CBCL: Child Behavior Checklist; CGAS: Children’s Global Assessment Scale; GAD-7: Generalized Anxiety Disorder 7-item scale; GAHT: Gender Affirming Hormone Therapy; GD: Gender Dysphoria; GIQA: Gender Identity/Gender Queer Assessment; NB: Non-Binary; NS: Not Significant; PHQ-9: Patient Health Questionnaire-9; PICOS: Population, Intervention, Comparison, Outcome, Study Design; PS: Pubertal Suppression; QID: Quick Inventory of Depressive Symptomatology; SCARED: Screen for Child Anxiety Related Disorders; SD: Standard Deviation; SDQ: Strengths and Difficulties Questionnaire; SHS: Subjective Happiness Scale; SRS-2: Social Responsiveness Scale, Second Edition; STAI: State-Trait Anxiety Inventory; SWLS: Satisfaction With Life Scale; UGDS: Utrecht Gender Dysphoria Scale; WAIS: Wechsler Adult Intelligence Scale; WISC: Wechsler Intelligence Scale for Children; YSR: Youth Self Report</w:t>
      </w:r>
    </w:p>
    <w:tbl>
      <w:tblPr>
        <w:tblStyle w:val="af4"/>
        <w:tblW w:w="1416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10"/>
        <w:gridCol w:w="2271"/>
        <w:gridCol w:w="1508"/>
        <w:gridCol w:w="2359"/>
        <w:gridCol w:w="2957"/>
        <w:gridCol w:w="2394"/>
        <w:gridCol w:w="1268"/>
      </w:tblGrid>
      <w:tr w:rsidR="00B23FAC" w:rsidRPr="00B23FAC" w14:paraId="1A019922" w14:textId="77777777" w:rsidTr="00D953D7">
        <w:trPr>
          <w:trHeight w:val="1114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04A6B2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Study design</w:t>
            </w:r>
          </w:p>
        </w:tc>
        <w:tc>
          <w:tcPr>
            <w:tcW w:w="22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BAE5E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Sample, gender identity, age, follow-up duration, period (years), region and comparator</w:t>
            </w:r>
          </w:p>
        </w:tc>
        <w:tc>
          <w:tcPr>
            <w:tcW w:w="15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DD0C5D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Methods</w:t>
            </w:r>
          </w:p>
          <w:p w14:paraId="163018D0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 xml:space="preserve"> </w:t>
            </w:r>
          </w:p>
        </w:tc>
        <w:tc>
          <w:tcPr>
            <w:tcW w:w="23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34B2E9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Treatment (Range of age at start and mean duration)</w:t>
            </w:r>
          </w:p>
        </w:tc>
        <w:tc>
          <w:tcPr>
            <w:tcW w:w="29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C07C32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Outcomes</w:t>
            </w:r>
          </w:p>
        </w:tc>
        <w:tc>
          <w:tcPr>
            <w:tcW w:w="23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69650E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 xml:space="preserve">Study strengths </w:t>
            </w:r>
            <w:r w:rsidRPr="00B23FAC">
              <w:rPr>
                <w:rFonts w:ascii="Times New Roman" w:eastAsia="Palatino Linotype" w:hAnsi="Times New Roman" w:cs="Times New Roman"/>
                <w:b/>
              </w:rPr>
              <w:br/>
              <w:t>Study limitations</w:t>
            </w:r>
          </w:p>
        </w:tc>
        <w:tc>
          <w:tcPr>
            <w:tcW w:w="1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568A3A" w14:textId="77777777" w:rsidR="00EB748B" w:rsidRPr="00B23FAC" w:rsidRDefault="00EB748B" w:rsidP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Level of evidence</w:t>
            </w:r>
          </w:p>
        </w:tc>
      </w:tr>
      <w:tr w:rsidR="00B23FAC" w:rsidRPr="00B23FAC" w14:paraId="19E564CF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A5C5A75" w14:textId="4C63448C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Achille 2020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3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5</w:t>
            </w:r>
          </w:p>
          <w:p w14:paraId="540721AE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</w:p>
          <w:p w14:paraId="30A3EE9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C061E8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50 adolescents (17 AMAB, 33 AFAB) </w:t>
            </w:r>
          </w:p>
          <w:p w14:paraId="31CD256A" w14:textId="77777777" w:rsidR="00A809F7" w:rsidRPr="00B23FAC" w:rsidRDefault="00A809F7">
            <w:pPr>
              <w:rPr>
                <w:rFonts w:ascii="Times New Roman" w:eastAsia="Palatino Linotype" w:hAnsi="Times New Roman" w:cs="Times New Roman"/>
              </w:rPr>
            </w:pPr>
          </w:p>
          <w:p w14:paraId="2621123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Age: 16.2±2.2 y </w:t>
            </w:r>
          </w:p>
          <w:p w14:paraId="5DC4EFD1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18 m</w:t>
            </w:r>
          </w:p>
          <w:p w14:paraId="6731205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2013-2018</w:t>
            </w:r>
          </w:p>
          <w:p w14:paraId="62B23CE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lang w:val="it-IT"/>
              </w:rPr>
            </w:pPr>
            <w:r w:rsidRPr="00B23FAC">
              <w:rPr>
                <w:rFonts w:ascii="Times New Roman" w:eastAsia="Palatino Linotype" w:hAnsi="Times New Roman" w:cs="Times New Roman"/>
                <w:lang w:val="it-IT"/>
              </w:rPr>
              <w:t>Region: USA</w:t>
            </w:r>
          </w:p>
          <w:p w14:paraId="6AD897C7" w14:textId="77777777" w:rsidR="00EB748B" w:rsidRPr="00B23FAC" w:rsidRDefault="00EB748B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B23FAC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</w:p>
          <w:p w14:paraId="1243B04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lang w:val="it-IT"/>
              </w:rPr>
            </w:pPr>
            <w:r w:rsidRPr="00B23FAC">
              <w:rPr>
                <w:rFonts w:ascii="Times New Roman" w:eastAsia="Palatino Linotype" w:hAnsi="Times New Roman" w:cs="Times New Roman"/>
                <w:lang w:val="it-IT"/>
              </w:rPr>
              <w:t>Comparator: No control group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9CE0E0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(CESD-R, PHQ-9, QLES-Q-SF; Suicidal Ideation)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0FCD68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(46%), GAHT (70%), both (22%)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Age 15.5±1.6 y </w:t>
            </w:r>
          </w:p>
          <w:p w14:paraId="7EBF6E9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Duration: 18 m</w:t>
            </w:r>
          </w:p>
          <w:p w14:paraId="11022D0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Evaluations every 6 m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B868EA9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 and/or GAHT improved mental health: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Depression: CESD-R score: from 21.4 at baseline to 13.9 - less than 16 means no depression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&lt;0.01); PHQ-9 decreased over time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141B9B73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2274B2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QoL scores improved </w:t>
            </w:r>
            <w:r w:rsidRPr="00B23FAC">
              <w:rPr>
                <w:rFonts w:ascii="Times New Roman" w:eastAsia="Palatino Linotype" w:hAnsi="Times New Roman" w:cs="Times New Roman"/>
                <w:iCs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=0.09)</w:t>
            </w:r>
          </w:p>
          <w:p w14:paraId="387A7F0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Suicidal ideation decreased over time across all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groups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vs baseline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E68901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Strengths: </w:t>
            </w:r>
          </w:p>
          <w:p w14:paraId="1C6D34C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Prospective, comprehensive assessment of mental health and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QoL</w:t>
            </w:r>
            <w:r w:rsidRPr="00B23FAC">
              <w:rPr>
                <w:rFonts w:ascii="Times New Roman" w:eastAsia="Palatino Linotype" w:hAnsi="Times New Roman" w:cs="Times New Roman"/>
              </w:rPr>
              <w:t>; multiple time points</w:t>
            </w:r>
          </w:p>
          <w:p w14:paraId="248D748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of f/up</w:t>
            </w:r>
          </w:p>
          <w:p w14:paraId="61BC438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0E77356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sample size; lack of control group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E48CCC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56577E1B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059239B" w14:textId="3FEBB706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Arnoldussen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2022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28</w:t>
            </w:r>
          </w:p>
          <w:p w14:paraId="46B7B2F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</w:p>
          <w:p w14:paraId="1058CC41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Retrospective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9A0810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72 adolescents (27 AMAB, 45 AFAB)</w:t>
            </w:r>
          </w:p>
          <w:p w14:paraId="5D82B1D9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EDB68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Age: </w:t>
            </w:r>
          </w:p>
          <w:p w14:paraId="2F80846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- At 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pre treatment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12.78±1.48 y;</w:t>
            </w:r>
          </w:p>
          <w:p w14:paraId="70644D2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- at evaluation at 20.40±1.03 y</w:t>
            </w:r>
          </w:p>
          <w:p w14:paraId="52F0433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F/up 2.4 y </w:t>
            </w:r>
          </w:p>
          <w:p w14:paraId="665010A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not specified</w:t>
            </w:r>
          </w:p>
          <w:p w14:paraId="289C289E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Netherlands (Amsterdam)</w:t>
            </w:r>
          </w:p>
          <w:p w14:paraId="09CF0D98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7492BAD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pre-post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D1D732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(WISC or WAIS, CBCL, YSR) educational achievement evaluated post-treatment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DD84B5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GnRHa range of age at start 11.47–16.99 y; mean duration 2.40 y </w:t>
            </w:r>
          </w:p>
          <w:p w14:paraId="1DCEC888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0EFDC5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followed by GAHT and gender-affirming surgery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CE5457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Educational achievement was evaluated after GAHT (mean age 20.40 y)</w:t>
            </w:r>
          </w:p>
          <w:p w14:paraId="72A66E65" w14:textId="77777777" w:rsidR="00EB748B" w:rsidRPr="00B23FAC" w:rsidRDefault="00EB748B" w:rsidP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The IQ scores and educational achievement were not significantly different between AMAB and AFAB.  The mean total IQ of the participants was 100.29 (SD = 15.07). For verbal IQ, the mean was 99.53 (SD = 15.01), for performance IQ the mean was 100.72 (SD = 14.26)</w:t>
            </w:r>
          </w:p>
          <w:p w14:paraId="75E6112C" w14:textId="77777777" w:rsidR="00EB748B" w:rsidRPr="00B23FAC" w:rsidRDefault="00EB748B" w:rsidP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62DC83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Pre-treatment IQ and educational achievement after PS and GAHT were strongly associated in adolescents with GD (Nagelkerke R = 0.71)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  <w:p w14:paraId="75658F0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Gender was not found to be an effect modifier in the association between total, verbal, performance IQ and educational achievement.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42C3B0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3FE287B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Long-term f/up, comprehensive assessment of cognitive and educational outcomes. </w:t>
            </w:r>
          </w:p>
          <w:p w14:paraId="707C519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Limitations: </w:t>
            </w:r>
          </w:p>
          <w:p w14:paraId="6C52E1D9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Lack of control group, only two measurement points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2AF338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00CEB7CD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DAC05" w14:textId="2B518359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Becker 2018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31</w:t>
            </w:r>
          </w:p>
          <w:p w14:paraId="570D3054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Retrospective cross-sectional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03F1BD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82 adolescents with GD (20 AMAB, 62 AFAB)</w:t>
            </w:r>
          </w:p>
          <w:p w14:paraId="225DB6B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Age: 14-21 y 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F/up: unavailable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Period: 2013-2015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Region: Germany</w:t>
            </w:r>
          </w:p>
          <w:p w14:paraId="0037D9F6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11 GAHT,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14 GAHT+ surgery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B1646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Psychological and behavioral assessments through questionnaires (Body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Image Questionnaire)</w:t>
            </w:r>
          </w:p>
          <w:p w14:paraId="2566439A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5F3C2E01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DCC02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GnRHa (n=13) Treatment duration mean 21.4 m</w:t>
            </w:r>
          </w:p>
          <w:p w14:paraId="664834ED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B235DE2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16D595A0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D9CB9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In participants, at baseline, both psychological functioning and QoL scores were significantly below the norm mean for all intervention groups. </w:t>
            </w:r>
          </w:p>
          <w:p w14:paraId="3064C0C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4EA2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02D80C8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Control group</w:t>
            </w:r>
          </w:p>
          <w:p w14:paraId="356449A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636ADD51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Cross-sectional design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Small sample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size  of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subjects with GD receiving PS</w:t>
            </w:r>
          </w:p>
          <w:p w14:paraId="15B9661D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8F196A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lastRenderedPageBreak/>
              <w:t>⊕⊖⊖⊖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Very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low quality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evidence</w:t>
            </w:r>
          </w:p>
        </w:tc>
      </w:tr>
      <w:tr w:rsidR="00B23FAC" w:rsidRPr="00B23FAC" w14:paraId="7A8DB229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56DE11B" w14:textId="42684BEF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Becker-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Hebly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202</w:t>
            </w:r>
            <w:r w:rsidR="0061489A" w:rsidRPr="00B23FAC">
              <w:rPr>
                <w:rFonts w:ascii="Times New Roman" w:eastAsia="Palatino Linotype" w:hAnsi="Times New Roman" w:cs="Times New Roman"/>
              </w:rPr>
              <w:t>1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3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6</w:t>
            </w:r>
          </w:p>
          <w:p w14:paraId="3361940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</w:p>
          <w:p w14:paraId="417910B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C8262AD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75 adolescents and young adults out of 204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(11 AMAB, 64 AFAB) </w:t>
            </w:r>
          </w:p>
          <w:p w14:paraId="11107F7C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0F77C7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baseline 15.6 y, f/up: 17.4 y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F/up: around 2 y</w:t>
            </w:r>
          </w:p>
          <w:p w14:paraId="716E681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2013-2018</w:t>
            </w:r>
          </w:p>
          <w:p w14:paraId="339D626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Germany (Hamburg)</w:t>
            </w:r>
          </w:p>
          <w:p w14:paraId="37D3D31E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457025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pre-post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90262C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(YSR, ASR, CGAS, Kidscreen-27 and SF-8)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B955B71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GnRHa, range of age at start 15.56±1.85 y, mean duration 21.4 m</w:t>
            </w:r>
          </w:p>
          <w:p w14:paraId="0BE1D964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25D94E9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followed by GAHT and/or surgery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B26A8B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At baseline, both psychological functioning and QoL scores were significantly below the norm mean for all intervention groups. </w:t>
            </w:r>
          </w:p>
          <w:p w14:paraId="6522D72E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4A5FF1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At </w:t>
            </w:r>
            <w:r w:rsidR="00F20322" w:rsidRPr="00B23FAC">
              <w:rPr>
                <w:rFonts w:ascii="Times New Roman" w:eastAsia="Palatino Linotype" w:hAnsi="Times New Roman" w:cs="Times New Roman"/>
              </w:rPr>
              <w:t>f/up</w:t>
            </w:r>
            <w:r w:rsidRPr="00B23FAC">
              <w:rPr>
                <w:rFonts w:ascii="Times New Roman" w:eastAsia="Palatino Linotype" w:hAnsi="Times New Roman" w:cs="Times New Roman"/>
              </w:rPr>
              <w:t>, adolescents who underwent PS or</w:t>
            </w:r>
          </w:p>
          <w:p w14:paraId="6F37E71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GA (hormonal and surgical) interventions showed better</w:t>
            </w:r>
          </w:p>
          <w:p w14:paraId="4EA9B0CD" w14:textId="77777777" w:rsidR="00EB748B" w:rsidRPr="00B23FAC" w:rsidRDefault="00F20322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</w:t>
            </w:r>
            <w:r w:rsidR="00EB748B" w:rsidRPr="00B23FAC">
              <w:rPr>
                <w:rFonts w:ascii="Times New Roman" w:eastAsia="Palatino Linotype" w:hAnsi="Times New Roman" w:cs="Times New Roman"/>
              </w:rPr>
              <w:t xml:space="preserve">cores in some emotional and behavioral dimensions and physical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QoL</w:t>
            </w:r>
            <w:r w:rsidR="00EB748B" w:rsidRPr="00B23FAC">
              <w:rPr>
                <w:rFonts w:ascii="Times New Roman" w:eastAsia="Palatino Linotype" w:hAnsi="Times New Roman" w:cs="Times New Roman"/>
              </w:rPr>
              <w:t xml:space="preserve"> scores were like the German norm mean. For the group receiving no medical interventions, the scores still indicated psychological</w:t>
            </w:r>
          </w:p>
          <w:p w14:paraId="5EF0991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impairment.</w:t>
            </w:r>
          </w:p>
          <w:p w14:paraId="4F2DE16B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E2DAC73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In the group receiving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PS</w:t>
            </w:r>
            <w:r w:rsidRPr="00B23FAC">
              <w:rPr>
                <w:rFonts w:ascii="Times New Roman" w:eastAsia="Palatino Linotype" w:hAnsi="Times New Roman" w:cs="Times New Roman"/>
              </w:rPr>
              <w:t>, the externalizing</w:t>
            </w:r>
          </w:p>
          <w:p w14:paraId="293D84CE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problems (YSR/ASR) score and mental and physical</w:t>
            </w:r>
          </w:p>
          <w:p w14:paraId="381CA23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health-related QoL scores (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Kidscreen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>/SF-8)</w:t>
            </w:r>
          </w:p>
          <w:p w14:paraId="3D86CCA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were within the norm. </w:t>
            </w:r>
          </w:p>
          <w:p w14:paraId="7764F103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67EE69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However, some of the psychosocial health outcome scores were still significantly different from the norm: baseline difficulties, as reflected in the total problem score and internalizing problems score, persisted throughout the f/up period in the PS group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D611B4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 xml:space="preserve">Strengths: </w:t>
            </w:r>
          </w:p>
          <w:p w14:paraId="1160465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Comprehensive use of standardized instruments, Prospective </w:t>
            </w:r>
          </w:p>
          <w:p w14:paraId="35773F7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Limitations: </w:t>
            </w:r>
          </w:p>
          <w:p w14:paraId="3ACA732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High drop-out rate, lack of control group, overrepresentation of AFAB individuals (85%).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3AF63A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  <w:r w:rsidR="00D135AD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3DCE7585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38607AC" w14:textId="67E113CB" w:rsidR="00FA0498" w:rsidRPr="00FA0498" w:rsidRDefault="00EB748B">
            <w:pPr>
              <w:rPr>
                <w:rFonts w:ascii="Times New Roman" w:eastAsia="Palatino Linotype" w:hAnsi="Times New Roman" w:cs="Times New Roman"/>
                <w:vertAlign w:val="superscript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Cantu 2020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33</w:t>
            </w:r>
          </w:p>
          <w:p w14:paraId="6A3F5A1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</w:p>
          <w:p w14:paraId="1B6F572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970561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80 youth (15 AMAB, 58 AFAB, 7 NB)</w:t>
            </w:r>
          </w:p>
          <w:p w14:paraId="05A40DD9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1B3EE9D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mean 15.1 (SD 1.8) y</w:t>
            </w:r>
          </w:p>
          <w:p w14:paraId="6ED5BA0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1-11 m</w:t>
            </w:r>
          </w:p>
          <w:p w14:paraId="184E72D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2017-2019</w:t>
            </w:r>
          </w:p>
          <w:p w14:paraId="149879D9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USA (Portland)</w:t>
            </w:r>
          </w:p>
          <w:p w14:paraId="38874835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8E9F2F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pre-post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219F1A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(PHQ-9, GAD-7)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8584EF0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(n=17) between visits,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GAHT (n=28) between visits, GAHT (n=1) before the initial visit</w:t>
            </w:r>
          </w:p>
          <w:p w14:paraId="2ED91AA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mean age at start 15.1 (SD 1.8) y;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f/up: 4.7 m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9E0D58E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 change in depression, anxiety, suicidal ideation. Changes probably take longer to occur.</w:t>
            </w:r>
          </w:p>
          <w:p w14:paraId="216D94B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Almost all (96%) were not on GnRHa nor GAHT at initial visit.</w:t>
            </w:r>
          </w:p>
          <w:p w14:paraId="03EEC1B8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98A5AC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Depression: PHQ-9, baseline 10.5±6.5; f/up 10.0±6.4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 0.39)</w:t>
            </w:r>
          </w:p>
          <w:p w14:paraId="4BC9613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Anxiety: GAD-7, baseline 9.1±6.1; f/up 8.8±5.7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=0.56)</w:t>
            </w:r>
          </w:p>
          <w:p w14:paraId="07A2EABA" w14:textId="77777777" w:rsidR="00EB748B" w:rsidRPr="00B23FAC" w:rsidRDefault="00EB748B" w:rsidP="00D135AD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Suicidal Ideation: 27 (34%) youth who endorsed suicidality at baseline, 22 (81%) continued to endorse suicidality at their f/up visit, and only 4 (4%) no longer endorsed suicidality at f/up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013851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57E57A9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  <w:p w14:paraId="199C549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1D65C9A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Limited to one clinic, variability in f/up timing, short f/up, no control group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4F59FE6" w14:textId="77777777" w:rsidR="00D135AD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3E04160B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6F59BA99" w14:textId="77777777" w:rsidTr="00D953D7">
        <w:trPr>
          <w:trHeight w:val="2593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F3AC5" w14:textId="522AF65F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Carmichael 2021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2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1</w:t>
            </w:r>
          </w:p>
          <w:p w14:paraId="0FFE6E09" w14:textId="77777777" w:rsidR="00D135AD" w:rsidRPr="00B23FAC" w:rsidRDefault="00D135AD">
            <w:pPr>
              <w:rPr>
                <w:rFonts w:ascii="Times New Roman" w:eastAsia="Palatino Linotype" w:hAnsi="Times New Roman" w:cs="Times New Roman"/>
              </w:rPr>
            </w:pPr>
          </w:p>
          <w:p w14:paraId="2ED01A4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8CC27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44 adolescents (25 AMAB, 19 AFAB)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Age 12.8-14.6 y (mean 13.6)</w:t>
            </w:r>
          </w:p>
          <w:p w14:paraId="330C9982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12-36 m</w:t>
            </w:r>
          </w:p>
          <w:p w14:paraId="0569E101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2011-2014</w:t>
            </w:r>
          </w:p>
          <w:p w14:paraId="49E99AF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United Kingdom (London)</w:t>
            </w:r>
          </w:p>
          <w:p w14:paraId="21EC109A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845AB93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No control group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D4191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Psychological and behavioral assessments through questionnaires (CBCL, YSR, BIS, UGDS, CGAS)  </w:t>
            </w:r>
          </w:p>
          <w:p w14:paraId="1AD47156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30CB71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Evaluations: T0, after 12 m, after 24 m and 36 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DA1A0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mean age at start 12.8-14.6 y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Duration: 31 m </w:t>
            </w:r>
          </w:p>
          <w:p w14:paraId="3F251206" w14:textId="77777777" w:rsidR="00EB748B" w:rsidRPr="00B23FAC" w:rsidRDefault="00EB748B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C3152B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GAHT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3EE47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There were no changes from baseline to 12-24 m in CBCL or YSR total t-scores or for CBCL or YSR self-harm indices, nor for CBCL total t-score or self-harm index at 36 m.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Most participants reported positive or a mixture of positive and negative life changes on GnRHa. 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D0571F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51AAED3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  <w:p w14:paraId="255B569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3C1578C8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Small sample size, </w:t>
            </w:r>
          </w:p>
          <w:p w14:paraId="1EC764A7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Lack of control group</w:t>
            </w:r>
          </w:p>
          <w:p w14:paraId="626D25E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 &gt;12 m only for subgroup</w:t>
            </w:r>
          </w:p>
          <w:p w14:paraId="1053AA1F" w14:textId="77777777" w:rsidR="00EB748B" w:rsidRPr="00B23FAC" w:rsidRDefault="00EB748B">
            <w:pPr>
              <w:spacing w:after="240"/>
              <w:rPr>
                <w:rFonts w:ascii="Times New Roman" w:eastAsia="Palatino Linotype" w:hAnsi="Times New Roman" w:cs="Times New Roman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B21843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  <w:r w:rsidR="00D135AD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1900956E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586DF3" w14:textId="422EE898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Costa 2015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2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5</w:t>
            </w:r>
          </w:p>
          <w:p w14:paraId="3B7EF28C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2BB496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201 adolescents with GD (AMAB AFAB?)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Age: 12-17 y  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F/up: 18 m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Period: 2010-2014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Region: UK (London)</w:t>
            </w:r>
          </w:p>
          <w:p w14:paraId="77BB9C28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169 healthy controls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62972D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(UGDS and CGAS)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4E81E0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Psychological support and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PS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with GnRHa. age at start of 13-17 y (mean = 16.48 y).</w:t>
            </w:r>
          </w:p>
          <w:p w14:paraId="66D930D6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Timeline: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T1: +6 m of psychological support; 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T2: +12 m of psychological support ±GnRHa for eligible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T3: +18 m of psychological support ±GnRHa for eligible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336001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At baseline, GD adolescents showed poor psychosocial functioning with a CGAS mean score of 57.7 ± 12.3. </w:t>
            </w:r>
          </w:p>
          <w:p w14:paraId="0EF6CD2D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After 6 m of psychological support, GD adolescents' global functioning improved significantly (CGAS mean score: 60.7 ± 12.5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 xml:space="preserve">;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&lt;0.01).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GD adolescents receiving also GnRHa had significantly better psychosocial functioning after 12 m of 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GnRHa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(67.4 ± 13.9) vs who received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only psychological support (60.9 ± 12.2,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29DD6A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3A1FE979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Prospective, Timing of f/up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  <w:r w:rsidRPr="00B23FAC">
              <w:rPr>
                <w:rFonts w:ascii="Times New Roman" w:eastAsia="Palatino Linotype" w:hAnsi="Times New Roman" w:cs="Times New Roman"/>
                <w:u w:val="single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None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4CA91C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⊕⊕⊕⊕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High quality evidence</w:t>
            </w:r>
          </w:p>
        </w:tc>
      </w:tr>
      <w:tr w:rsidR="00B23FAC" w:rsidRPr="00B23FAC" w14:paraId="1DABA20C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7152FC" w14:textId="72AF02D9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De Vries 2011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2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6</w:t>
            </w:r>
          </w:p>
          <w:p w14:paraId="048965F7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197519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70 adolescents with GD (33 AMAB, 37 AFAB) </w:t>
            </w:r>
          </w:p>
          <w:p w14:paraId="39ADF4AF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11.1-17 y (mean 13.65)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F/up: about 3 y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Period: 2000-2008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Region:  Netherlands (Amsterdam)</w:t>
            </w:r>
          </w:p>
          <w:p w14:paraId="6190A4AE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general population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A8F84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(CBCL, YSR, BDI, Trait Anger and Anxiety Scale, CGAS, UGDS, BIS)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06870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Age 11.3-18.6 y (mean 14.75)</w:t>
            </w:r>
          </w:p>
          <w:p w14:paraId="39234DF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Duration: 2y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Evaluations: T0 before GnRHa, T1: before GAHT</w:t>
            </w:r>
          </w:p>
          <w:p w14:paraId="1A735FFE" w14:textId="77777777" w:rsidR="00EB748B" w:rsidRPr="00B23FAC" w:rsidRDefault="00EB748B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364EFD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Behavioral and emotional problems decreased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&lt;0.01); AFAB had more problem behavior than AMAB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Depressive symptom decreased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Trait Anger and Anxiety (no significant change, Trait anger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 xml:space="preserve">TPI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= 0.503; trait anxiety STAI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=0.28; AFAB had more feelings of anger and anxiety than AMAB)</w:t>
            </w:r>
          </w:p>
          <w:p w14:paraId="59813732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Global functioning increased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=0.005); AFAB had lower score than AMAB</w:t>
            </w:r>
          </w:p>
          <w:p w14:paraId="4D2F5999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GD did not change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=0.33); AFAB had more GD than AMAB </w:t>
            </w:r>
          </w:p>
          <w:p w14:paraId="2C8D13A8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Body Image satisfaction did not change; AFAB were more Body dissatisfied than AMAB</w:t>
            </w:r>
          </w:p>
          <w:p w14:paraId="3B37DC0A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No adolescent withdrew from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PS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, and all started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cross-sex hormone treatment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013476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6E4681FC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Comprehensive psychological assessment, prospective design </w:t>
            </w:r>
          </w:p>
          <w:p w14:paraId="21F588B3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638A0115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General population as control group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587C76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5282544B" w14:textId="77777777" w:rsidTr="00D953D7">
        <w:trPr>
          <w:trHeight w:val="551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745E68" w14:textId="7A1E2F40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De Vries 2014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3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0</w:t>
            </w:r>
          </w:p>
          <w:p w14:paraId="77569086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34F3A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55 adolescents (22 AMAB, 33 AFAB) </w:t>
            </w:r>
          </w:p>
          <w:p w14:paraId="6733494C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Age: 11.1-17 y 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F/up: about 7 y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Period: 2008-2012</w:t>
            </w:r>
            <w:r w:rsidR="002D14AA"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Region:  Netherlands (Amsterdam)</w:t>
            </w:r>
          </w:p>
          <w:p w14:paraId="358FD1A9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general population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6B0D32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(UGDS, BIS, CGAS, BDI, Spielberger’s Trait Anger and Anxiety Scale, CBCL/ABCL, WHOQOL-BREF (QoL), SWLS, SHS)</w:t>
            </w:r>
          </w:p>
          <w:p w14:paraId="4AE617F9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Evaluations: pre-treatment; T1 during treatment on GnRHa, at initiation of CSH; T2 post-treatment: 1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y after surgery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327901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  <w:lang w:val="fr-CH"/>
              </w:rPr>
            </w:pPr>
            <w:proofErr w:type="spellStart"/>
            <w:r w:rsidRPr="00B23FAC">
              <w:rPr>
                <w:rFonts w:ascii="Times New Roman" w:eastAsia="Palatino Linotype" w:hAnsi="Times New Roman" w:cs="Times New Roman"/>
                <w:lang w:val="fr-CH"/>
              </w:rPr>
              <w:lastRenderedPageBreak/>
              <w:t>GnRHa</w:t>
            </w:r>
            <w:proofErr w:type="spellEnd"/>
            <w:r w:rsidRPr="00B23FAC">
              <w:rPr>
                <w:rFonts w:ascii="Times New Roman" w:eastAsia="Palatino Linotype" w:hAnsi="Times New Roman" w:cs="Times New Roman"/>
                <w:lang w:val="fr-CH"/>
              </w:rPr>
              <w:br/>
              <w:t>11.5-18.5 y (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>mean</w:t>
            </w:r>
            <w:proofErr w:type="spellEnd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13.6 y)</w:t>
            </w:r>
            <w:r w:rsidRPr="00B23FAC">
              <w:rPr>
                <w:rFonts w:ascii="Times New Roman" w:eastAsia="Palatino Linotype" w:hAnsi="Times New Roman" w:cs="Times New Roman"/>
                <w:lang w:val="fr-CH"/>
              </w:rPr>
              <w:br/>
            </w:r>
            <w:proofErr w:type="gramStart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>Duration:</w:t>
            </w:r>
            <w:proofErr w:type="gramEnd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2y</w:t>
            </w:r>
          </w:p>
          <w:p w14:paraId="43591B7E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GAHT 13.9-19 y (mean 16.7y)</w:t>
            </w:r>
          </w:p>
          <w:p w14:paraId="4C807BA0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Surgery: 18.0-21.3 y (mean 19.6 y)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139492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Significant improvements in psychological functioning and </w:t>
            </w:r>
            <w:r w:rsidR="00A73FEE" w:rsidRPr="00B23FAC">
              <w:rPr>
                <w:rFonts w:ascii="Times New Roman" w:eastAsia="Palatino Linotype" w:hAnsi="Times New Roman" w:cs="Times New Roman"/>
              </w:rPr>
              <w:t>QoL</w:t>
            </w:r>
            <w:r w:rsidRPr="00B23FAC">
              <w:rPr>
                <w:rFonts w:ascii="Times New Roman" w:eastAsia="Palatino Linotype" w:hAnsi="Times New Roman" w:cs="Times New Roman"/>
              </w:rPr>
              <w:t>; gender dysphoria and body dissatisfaction decreased significantly post-treatment; depression, anger, and anxiety reduced over time; well-being comparable to peers</w:t>
            </w:r>
          </w:p>
          <w:p w14:paraId="22379103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Gender Dysphoria persisted through GnRHa, remitted after GAHT and surgery (T2;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48C2F030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Body Dissatisfaction persisted through GnRHa, remitted after GAHT and surgery (T2, 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798541F1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Global function improve over time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CBCL/ABCL improve over time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083FB8F5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WHOQOL-BREF, physical, psychological, social relations (QoL): similar scores than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validation studies scores mean </w:t>
            </w:r>
          </w:p>
          <w:p w14:paraId="0FA752F8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WHOQOL Environment mean 15.47±2.06 vs validation studies scores mean 13.7±2.6 Comparison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21269DE8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The Satisfaction with life Scale and The Subjective Happiness Scale was comparable to same-age peers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848E64" w14:textId="77777777" w:rsidR="00EB748B" w:rsidRPr="00B23FAC" w:rsidRDefault="00EB748B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 xml:space="preserve">Strengths: </w:t>
            </w:r>
            <w:r w:rsidRPr="00B23FAC">
              <w:rPr>
                <w:rFonts w:ascii="Times New Roman" w:eastAsia="Palatino Linotype" w:hAnsi="Times New Roman" w:cs="Times New Roman"/>
              </w:rPr>
              <w:t>Prospective,</w:t>
            </w: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 </w:t>
            </w:r>
            <w:r w:rsidRPr="00B23FAC">
              <w:rPr>
                <w:rFonts w:ascii="Times New Roman" w:eastAsia="Palatino Linotype" w:hAnsi="Times New Roman" w:cs="Times New Roman"/>
              </w:rPr>
              <w:t>comprehensive psychological and emotional assessments</w:t>
            </w:r>
          </w:p>
          <w:p w14:paraId="35578C9D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  <w:r w:rsidRPr="00B23FAC">
              <w:rPr>
                <w:rFonts w:ascii="Times New Roman" w:eastAsia="Palatino Linotype" w:hAnsi="Times New Roman" w:cs="Times New Roman"/>
                <w:u w:val="single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t>General population as control group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BA274B" w14:textId="77777777" w:rsidR="00EB748B" w:rsidRPr="00B23FAC" w:rsidRDefault="00EB748B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15D5E9FF" w14:textId="77777777" w:rsidTr="00D953D7">
        <w:trPr>
          <w:trHeight w:val="551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E8986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Fisher 2024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</w:p>
          <w:p w14:paraId="322AF15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3478AB3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4DEB7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36 adolescents (14 AMAB, 22 AFAB)</w:t>
            </w:r>
          </w:p>
          <w:p w14:paraId="0C4F502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59C2E82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14.2±1.9 y</w:t>
            </w:r>
          </w:p>
          <w:p w14:paraId="2550B69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3-12 m</w:t>
            </w:r>
          </w:p>
          <w:p w14:paraId="2478E4C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2014-2020</w:t>
            </w:r>
          </w:p>
          <w:p w14:paraId="4CEE0CD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Italy (Florence)</w:t>
            </w:r>
          </w:p>
          <w:p w14:paraId="636FB72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4FD2103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 control group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5A90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Psychological and behavioral assessments through questionnaires (YSR, BUT, MAST, BDI, BAI)  </w:t>
            </w:r>
          </w:p>
          <w:p w14:paraId="61F3876E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69F5EC7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Evaluations: T0, after 12 m, after 24 m and 36 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3CDA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(triptorelin 3.75 mg every 28 days) Age range: 11-15 AMAB, 9-17 AFAB Duration: 3-12 m</w:t>
            </w:r>
          </w:p>
          <w:p w14:paraId="1BF4BBC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D4D22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Significant improvement in psychological functioning, decrease in suicidality, body uneasiness, depression, and anxiety levels.</w:t>
            </w:r>
          </w:p>
          <w:p w14:paraId="7D8E1A1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b/>
              </w:rPr>
            </w:pPr>
            <w:r w:rsidRPr="00B23FAC">
              <w:rPr>
                <w:rFonts w:ascii="Times New Roman" w:eastAsia="Palatino Linotype" w:hAnsi="Times New Roman" w:cs="Times New Roman"/>
                <w:b/>
              </w:rPr>
              <w:t>Hormone and physical changes observed during triptorelin treatment significantly correlated with a reduction in suicidal ideation, anxiety, and body image concerns.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8C105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proofErr w:type="spellStart"/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Strenghts</w:t>
            </w:r>
            <w:proofErr w:type="spellEnd"/>
            <w:r w:rsidRPr="00B23FAC">
              <w:rPr>
                <w:rFonts w:ascii="Times New Roman" w:eastAsia="Palatino Linotype" w:hAnsi="Times New Roman" w:cs="Times New Roman"/>
                <w:u w:val="single"/>
              </w:rPr>
              <w:t>:</w:t>
            </w:r>
          </w:p>
          <w:p w14:paraId="4B5AC82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Multidisciplinary approach, longitudinal tracking of both psychological and endocrinological outcomes​</w:t>
            </w:r>
          </w:p>
          <w:p w14:paraId="74BE042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38B2CAB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Small sample size, limited bone health data, lack of control group for ethical reasons​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171037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Cambria Math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50133778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E9136" w14:textId="771831F1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Khatchadourian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2014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2</w:t>
            </w:r>
          </w:p>
          <w:p w14:paraId="74959995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Retrospective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31E895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84 adolescents with GD (45 AMAB, 37 AFAB, 2 natal males undecided)</w:t>
            </w:r>
          </w:p>
          <w:p w14:paraId="57B474EB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Age: 16.9 y 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F/up: mean 2 y (range 0.0-11.3)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Period: 1998-2011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Region: Canada (Vancouver)</w:t>
            </w:r>
          </w:p>
          <w:p w14:paraId="40F63E94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No control group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CB7A20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Psychological and behavioral assessments through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questionnaires (UGDS, Piers-Harris Children’s Self Concept Scale, GIQA)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18E69B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GnRHa (15 AMAB, 11 AFAB)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Age at start: 14.7±1.9y</w:t>
            </w:r>
          </w:p>
          <w:p w14:paraId="74539EFF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GAHT (39 AMAB, 24 AFAB): 17.4±1.9y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07A2E8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Initiation of GnRHa therapy at an earlier stage of puberty prevents the development of unwanted secondary sexual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characteristics and can alleviate distress</w:t>
            </w:r>
          </w:p>
          <w:p w14:paraId="0B018B4E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Suicide attempts and/or emergency department visits for suicidal ideation decreased from 12% (n = 10) before the first visit to transgender clinic to 5% (n = 4) afterward.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49EDD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1035A43A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None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Limitations: 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Retrospective, small sample size, lack of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control group, variability in f/up duration and treatment initiation, objective tests of psychological functioning before and after treatment were not performed systematically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EA001C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lastRenderedPageBreak/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Low quality evidence</w:t>
            </w:r>
          </w:p>
        </w:tc>
      </w:tr>
      <w:tr w:rsidR="00B23FAC" w:rsidRPr="00B23FAC" w14:paraId="75AAF9A6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43D5D5" w14:textId="34F34EFF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Kuper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2020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3</w:t>
            </w:r>
          </w:p>
          <w:p w14:paraId="216EFAB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93EF28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148 adolescents with GD (55 AMAB, 94 AFAB)</w:t>
            </w:r>
          </w:p>
          <w:p w14:paraId="7B4A945D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9-18 y (mean 14.9±2.0 y)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F/up: 1 y (range 11-18m)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Period: 2014-2018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Region: USA (Dallas)</w:t>
            </w:r>
          </w:p>
          <w:p w14:paraId="772AB4E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Comparator: 93 GAHT only, 30 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GnRH+GAHT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6A411B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(BIS, SCARED, QIDS)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507E27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only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Age 9.8-14.9 y (n=25)</w:t>
            </w:r>
          </w:p>
          <w:p w14:paraId="520473BC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FD8DDC6" w14:textId="77777777" w:rsidR="00D953D7" w:rsidRPr="00B23FAC" w:rsidRDefault="00D953D7" w:rsidP="00D953D7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0DC0ACAE" w14:textId="77777777" w:rsidR="00D953D7" w:rsidRPr="00B23FAC" w:rsidRDefault="00D953D7" w:rsidP="00D953D7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33AD4815" w14:textId="77777777" w:rsidR="00D953D7" w:rsidRPr="00B23FAC" w:rsidRDefault="00D953D7" w:rsidP="00D953D7">
            <w:pPr>
              <w:spacing w:after="240"/>
              <w:ind w:left="100"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B3224D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At baseline, AMAB reported greater depression and anxiety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&lt;0.01). </w:t>
            </w:r>
          </w:p>
          <w:p w14:paraId="0837A131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During the 1-y f/up youth reported decrease in body dissatisfaction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&lt;0.01), small to moderate improvements in self-report of depressive symptoms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&lt;0.01), and small improvements in total anxiety symptoms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&lt;0.01).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No demographic or treatment-related characteristics were associated with change over time. </w:t>
            </w:r>
          </w:p>
          <w:p w14:paraId="592F97A3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Lifetime and f/up rates were 81% and 39% for suicidal ideation, 16% and 4% for suicide attempt, and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52% and 18% for 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nonsuicidal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self-injury, respectively.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922F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521EC33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Prospective. Control group</w:t>
            </w: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133968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3323984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Limited data on long-term effects</w:t>
            </w:r>
          </w:p>
          <w:p w14:paraId="7796D68E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Small sample size of subjects with GD receiving PS. Short f/up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B1F257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Low quality evidence</w:t>
            </w:r>
          </w:p>
        </w:tc>
      </w:tr>
      <w:tr w:rsidR="00B23FAC" w:rsidRPr="00B23FAC" w14:paraId="6616A89A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B3853DC" w14:textId="72885795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Lavender 2023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</w:p>
          <w:p w14:paraId="7AF5F0D1" w14:textId="77777777" w:rsidR="0061489A" w:rsidRPr="00B23FAC" w:rsidRDefault="0061489A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4824703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Retrospective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8F1FC9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38 adolescents out of 109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 (10 AMAB, 28 AFAB)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 xml:space="preserve">Age: &lt;15 y, Tanner ≥2 </w:t>
            </w:r>
          </w:p>
          <w:p w14:paraId="367339E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 y on GnRHa, 1 y on GAHT</w:t>
            </w:r>
          </w:p>
          <w:p w14:paraId="7D81ADC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2014 - 2018</w:t>
            </w:r>
          </w:p>
          <w:p w14:paraId="72F4C17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UK (London)</w:t>
            </w:r>
          </w:p>
          <w:p w14:paraId="32AE32EB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FE428A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pre-post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EF7785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(YSR, BIS, UGDS, CBCL, SRS-2)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6D1536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GnRHa range of age at start 14.01±0.81 y, duration of GnRHa before GAHT: minimum 1 y, approximately 2 y. </w:t>
            </w:r>
          </w:p>
          <w:p w14:paraId="2778E15F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36ABC4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followed by GAHT at mean age 16.10 y.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0C59D3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In participants concurrently receiving psychosocial support and hormone treatment, these items improved over the time: </w:t>
            </w:r>
          </w:p>
          <w:p w14:paraId="082C8A3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Dissatisfaction with primary sexual characteristics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=0.02) and gender dysphoria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=0.01)</w:t>
            </w:r>
          </w:p>
          <w:p w14:paraId="2FBF2DE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Social motivation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=0.04)</w:t>
            </w:r>
          </w:p>
          <w:p w14:paraId="5450F38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Internalizing behaviors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=0.03)</w:t>
            </w:r>
          </w:p>
          <w:p w14:paraId="409B382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br/>
              <w:t>Self-harm and Suicidality showed a general decrease</w:t>
            </w:r>
          </w:p>
          <w:p w14:paraId="1DC59C77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1103D7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Caregivers reported a significant reduction in internalizing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= 0.03) behaviors on the CBCL after GnRHa. </w:t>
            </w:r>
          </w:p>
          <w:p w14:paraId="2713264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Other subcategories of the YSR and CBCL were within normal ranges with no significant difference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&gt; 0.05)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4B0F53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33BB52D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Longitudinal data, comprehensive assessments. </w:t>
            </w:r>
          </w:p>
          <w:p w14:paraId="346697A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5ED440A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Small sample size, lack of control group, low questionnaire completion rates. Short f/up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FC00FF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5632634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3C8A95AC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E4EFCAE" w14:textId="30F1012F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</w:t>
            </w:r>
            <w:r w:rsidR="0061489A" w:rsidRPr="00B23FAC">
              <w:rPr>
                <w:rFonts w:ascii="Times New Roman" w:eastAsia="Palatino Linotype" w:hAnsi="Times New Roman" w:cs="Times New Roman"/>
              </w:rPr>
              <w:t>ó</w:t>
            </w:r>
            <w:r w:rsidRPr="00B23FAC">
              <w:rPr>
                <w:rFonts w:ascii="Times New Roman" w:eastAsia="Palatino Linotype" w:hAnsi="Times New Roman" w:cs="Times New Roman"/>
              </w:rPr>
              <w:t>pez de Lara 2020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5</w:t>
            </w:r>
          </w:p>
          <w:p w14:paraId="074065C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4C8DFAA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DD4E32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23 adolescents with GD (7 AMAB; 16 AFAB)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br/>
              <w:t>Age: 16 y</w:t>
            </w:r>
          </w:p>
          <w:p w14:paraId="6B1C3CBE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 y</w:t>
            </w:r>
          </w:p>
          <w:p w14:paraId="3553278E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2018-2019</w:t>
            </w:r>
          </w:p>
          <w:p w14:paraId="5221470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Spain (Madrid)</w:t>
            </w:r>
          </w:p>
          <w:p w14:paraId="61AECC94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9EB3F5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30 cisgender controls (12 AFAB; 18 AMAB)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0E9532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Psychological and behavioral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assessments through questionnaires (UGDS, SDQ-Cas, STAI, BDI Second Edition)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226FC1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GnRHa (age of start not known)</w:t>
            </w:r>
          </w:p>
          <w:p w14:paraId="1CA2F0A7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+GAHT </w:t>
            </w:r>
          </w:p>
          <w:p w14:paraId="31F703C5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  <w:p w14:paraId="6C5872E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Range of age 14-18 y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Duration: 1 y after GAHT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83C2B8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Significant improvement in emotional symptoms, behavior problems,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hyperactivity, pro-social conduct, anxiety, and depression in the transgender group, with scores becoming similar to controls </w:t>
            </w:r>
          </w:p>
          <w:p w14:paraId="575EDBBE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D20F1F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Emotional symptoms T0: 5.2±1.6, T1: 3.4±1.2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23EFB127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Behavior problems T0: 2.7±0.8, T1: 1.8±1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3D6BFAF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Hyperactivity symptoms T0: 4±1.9, T1: 2.6±1.8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7287886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Pro-social conduct T0: 8±1.6, T1: 9± 1.2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5487E959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D0FDBC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Anxiety as a state T0: 33.3±9.1, T1: 16.8±8.1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 xml:space="preserve"> p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646EBF4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lang w:val="fr-CH"/>
              </w:rPr>
            </w:pPr>
            <w:r w:rsidRPr="00B23FAC">
              <w:rPr>
                <w:rFonts w:ascii="Times New Roman" w:eastAsia="Palatino Linotype" w:hAnsi="Times New Roman" w:cs="Times New Roman"/>
                <w:lang w:val="fr-CH"/>
              </w:rPr>
              <w:t>Anxiety as a trait T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>0:</w:t>
            </w:r>
            <w:proofErr w:type="gramEnd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33±7.2, T1: 18.5±8.4 (</w:t>
            </w:r>
            <w:r w:rsidRPr="00B23FAC">
              <w:rPr>
                <w:rFonts w:ascii="Times New Roman" w:eastAsia="Palatino Linotype" w:hAnsi="Times New Roman" w:cs="Times New Roman"/>
                <w:i/>
                <w:lang w:val="fr-CH"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&lt;0.01)</w:t>
            </w:r>
          </w:p>
          <w:p w14:paraId="07ACCEF4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  <w:lang w:val="fr-CH"/>
              </w:rPr>
            </w:pPr>
            <w:r w:rsidRPr="00B23FAC">
              <w:rPr>
                <w:rFonts w:ascii="Times New Roman" w:eastAsia="Times New Roman" w:hAnsi="Times New Roman" w:cs="Times New Roman"/>
                <w:lang w:val="fr-CH"/>
              </w:rPr>
              <w:t xml:space="preserve"> </w:t>
            </w:r>
          </w:p>
          <w:p w14:paraId="0B8C170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lang w:val="fr-CH"/>
              </w:rPr>
            </w:pPr>
            <w:r w:rsidRPr="00B23FAC">
              <w:rPr>
                <w:rFonts w:ascii="Times New Roman" w:eastAsia="Palatino Linotype" w:hAnsi="Times New Roman" w:cs="Times New Roman"/>
                <w:lang w:val="fr-CH"/>
              </w:rPr>
              <w:t>Depressive symptomatology T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>0:</w:t>
            </w:r>
            <w:proofErr w:type="gramEnd"/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19.3±5.5, T1: 9.7±3.9 (</w:t>
            </w:r>
            <w:r w:rsidRPr="00B23FAC">
              <w:rPr>
                <w:rFonts w:ascii="Times New Roman" w:eastAsia="Palatino Linotype" w:hAnsi="Times New Roman" w:cs="Times New Roman"/>
                <w:i/>
                <w:lang w:val="fr-CH"/>
              </w:rPr>
              <w:t xml:space="preserve"> p</w:t>
            </w:r>
            <w:r w:rsidRPr="00B23FAC">
              <w:rPr>
                <w:rFonts w:ascii="Times New Roman" w:eastAsia="Palatino Linotype" w:hAnsi="Times New Roman" w:cs="Times New Roman"/>
                <w:lang w:val="fr-CH"/>
              </w:rPr>
              <w:t xml:space="preserve"> &lt;0.01)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85CE7E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</w:p>
          <w:p w14:paraId="3F383EE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  <w:p w14:paraId="6BD255D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7F35350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Limited to one clinic, small sample size, only two time points analyzed. Short f/up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74173C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lastRenderedPageBreak/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6502EEA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Low quality evidence</w:t>
            </w:r>
          </w:p>
        </w:tc>
      </w:tr>
      <w:tr w:rsidR="00B23FAC" w:rsidRPr="00B23FAC" w14:paraId="7077327E" w14:textId="77777777" w:rsidTr="00D953D7"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9CBDE1" w14:textId="7BAC288B" w:rsidR="0061489A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McGregor 2024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6</w:t>
            </w:r>
          </w:p>
          <w:p w14:paraId="372D24C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59E8971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Retrospective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Cross-sectional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F870E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438 adolescents with GD (105 AMAB, 337 AFAB) </w:t>
            </w:r>
          </w:p>
          <w:p w14:paraId="380FD57D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27DDD2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Age: 13-17 y </w:t>
            </w:r>
          </w:p>
          <w:p w14:paraId="4199D23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no</w:t>
            </w:r>
          </w:p>
          <w:p w14:paraId="452393C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Period: 2017-2021 </w:t>
            </w:r>
          </w:p>
          <w:p w14:paraId="00E816E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USA (Boston)</w:t>
            </w:r>
          </w:p>
          <w:p w14:paraId="62C44455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E7E609A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40 received GnRHa (Tanner stage 2 or 3), 398 did not receive GnRHa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4CAC37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 xml:space="preserve">Psychological and behavioral assessments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through questionnaires before starting GAHT (YSR)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77A3A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GnRHa (n=40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)  mean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age at start 12 y; f/up until hormone readiness assessment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CD35D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Use of GnRHa was associated with significantly lower T-scores for internalizing, anxiety, </w:t>
            </w: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depression, stress, and total problems; fewer suicidal thoughts reported among youth who received blockade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96AD6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lastRenderedPageBreak/>
              <w:t>Strengths: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3F881D6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Control group</w:t>
            </w:r>
          </w:p>
          <w:p w14:paraId="63DD5E2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Limitations: </w:t>
            </w:r>
          </w:p>
          <w:p w14:paraId="3E71AE3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Retrospective, cross-sectional, small sample size of GnRH treated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349E9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lastRenderedPageBreak/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3FB3D17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6EAF6885" w14:textId="77777777" w:rsidTr="00D953D7">
        <w:trPr>
          <w:trHeight w:val="4005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7D9066F" w14:textId="073B552D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McPherson 2023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4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7</w:t>
            </w:r>
          </w:p>
          <w:p w14:paraId="4BD89123" w14:textId="77777777" w:rsidR="0061489A" w:rsidRPr="00B23FAC" w:rsidRDefault="0061489A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4E44CA2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  <w:p w14:paraId="400B025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(Reanalysis of the study of Carmichael 2021)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166BAB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44 adolescents (25 AMAB, 19 AFAB)</w:t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Age 12.8-14.6 y (mean 13.6 y)</w:t>
            </w:r>
          </w:p>
          <w:p w14:paraId="5D1523BE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3 y</w:t>
            </w:r>
          </w:p>
          <w:p w14:paraId="0F090B2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2011-2014</w:t>
            </w:r>
          </w:p>
          <w:p w14:paraId="68FD1E3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UK (London)</w:t>
            </w:r>
          </w:p>
          <w:p w14:paraId="517D48BF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CB1A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USA general population (not UK)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517836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Psychological and behavioral assessments through questionnaires (CBCL and YSR) </w:t>
            </w:r>
          </w:p>
          <w:p w14:paraId="02198B79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9084E2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Evaluations: T0, after 12 m, after 24 m and 36 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EAA82D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range of age at start: 12-15 y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Duration: 31 m (20-42)</w:t>
            </w:r>
          </w:p>
          <w:p w14:paraId="2E6B2337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F32C10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GAHT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92437C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15-34% of participants deteriorated depending on the subscale, time point and parent versus child report, and between 9% and 20% reliably improve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D7BDDE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Strengths: 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None </w:t>
            </w:r>
          </w:p>
          <w:p w14:paraId="53FBB06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79AADA3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Small sample size, USA control group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A838EA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1403BE7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4F3671C6" w14:textId="77777777" w:rsidTr="00D953D7">
        <w:trPr>
          <w:trHeight w:val="3390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A49AF79" w14:textId="7DE72F44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Russell 202</w:t>
            </w:r>
            <w:r w:rsidR="00FA0498">
              <w:rPr>
                <w:rFonts w:ascii="Times New Roman" w:eastAsia="Palatino Linotype" w:hAnsi="Times New Roman" w:cs="Times New Roman"/>
              </w:rPr>
              <w:t>1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5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3</w:t>
            </w:r>
          </w:p>
          <w:p w14:paraId="57DDAA38" w14:textId="77777777" w:rsidR="0061489A" w:rsidRPr="00B23FAC" w:rsidRDefault="0061489A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6DD80A7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Prospective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415AB0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95 adolescents</w:t>
            </w:r>
          </w:p>
          <w:p w14:paraId="1E4F0FE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(38 AMAB, 57 AFAB) </w:t>
            </w:r>
          </w:p>
          <w:p w14:paraId="5A20C02B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579098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mean 13.6 ± 0.11</w:t>
            </w:r>
          </w:p>
          <w:p w14:paraId="7F6EC2E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 y</w:t>
            </w:r>
          </w:p>
          <w:p w14:paraId="5737E95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Period: </w:t>
            </w:r>
            <w:proofErr w:type="spellStart"/>
            <w:r w:rsidRPr="00B23FAC">
              <w:rPr>
                <w:rFonts w:ascii="Times New Roman" w:eastAsia="Palatino Linotype" w:hAnsi="Times New Roman" w:cs="Times New Roman"/>
              </w:rPr>
              <w:t>n.a.</w:t>
            </w:r>
            <w:proofErr w:type="spellEnd"/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17007FB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UK (London)</w:t>
            </w:r>
          </w:p>
          <w:p w14:paraId="09302450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6EDD793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pre-post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D73D2F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Autism assessment (SRS-2)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F70CF7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GnRHa;</w:t>
            </w:r>
          </w:p>
          <w:p w14:paraId="45D375C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range of age at start: 9.9 to 15.9 y, mean duration: ~1 y.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C5AF91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 significant differences in SRS-2 scores over time and between birth assigned sex</w:t>
            </w:r>
          </w:p>
          <w:p w14:paraId="2912A30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 interactions between time and birth assigned sex were established for SRS-2 subscales or total scores.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B0400F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Strengths: </w:t>
            </w: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  <w:p w14:paraId="73A5753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2D8DCFD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Lack of clinical diagnosis for autism spectrum, lack of control group, short f/up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46C1CE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329D14D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</w:tc>
      </w:tr>
      <w:tr w:rsidR="00B23FAC" w:rsidRPr="00B23FAC" w14:paraId="43C67B82" w14:textId="77777777" w:rsidTr="00D953D7">
        <w:trPr>
          <w:trHeight w:val="4110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B78CB2" w14:textId="419E9DDD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Tordoff 2022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24</w:t>
            </w:r>
          </w:p>
          <w:p w14:paraId="7A9D8BB6" w14:textId="77777777" w:rsidR="0061489A" w:rsidRPr="00B23FAC" w:rsidRDefault="0061489A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0905B97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Prospective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A980F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104 adolescents (27 AMAB, 63 AFAB, 10 NB, 4 unknown) </w:t>
            </w:r>
          </w:p>
          <w:p w14:paraId="70C58966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535100E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15.8 y</w:t>
            </w:r>
          </w:p>
          <w:p w14:paraId="3FB5C89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12 m</w:t>
            </w:r>
          </w:p>
          <w:p w14:paraId="3BDE45F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2017-2018</w:t>
            </w: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92E01A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USA (multisite)</w:t>
            </w:r>
          </w:p>
          <w:p w14:paraId="550201A3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05BD3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hormonal treatment vs. no treatment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39534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Surveys and medical record reviews over 12 m. </w:t>
            </w:r>
          </w:p>
          <w:p w14:paraId="3E3DAD2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(PHQ-9, GAD-7)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7A414" w14:textId="77777777" w:rsidR="00D953D7" w:rsidRPr="00B23FAC" w:rsidRDefault="00D953D7" w:rsidP="00D953D7">
            <w:pPr>
              <w:spacing w:before="240" w:after="24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At baseline: 1 received GnRHa only, 4 received GAHT only, 2 received both </w:t>
            </w:r>
          </w:p>
          <w:p w14:paraId="0ECE6BFC" w14:textId="77777777" w:rsidR="00D953D7" w:rsidRPr="00B23FAC" w:rsidRDefault="00D953D7" w:rsidP="00D953D7">
            <w:pPr>
              <w:spacing w:before="240" w:after="24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By the end of the study:  5 received GnRHa only, 50 received GAHT only, 14 received both  </w:t>
            </w:r>
            <w:r w:rsidRPr="00B23FAC">
              <w:rPr>
                <w:rFonts w:ascii="Times New Roman" w:eastAsia="Palatino Linotype" w:hAnsi="Times New Roman" w:cs="Times New Roman"/>
              </w:rPr>
              <w:tab/>
              <w:t xml:space="preserve">                                   </w:t>
            </w:r>
          </w:p>
          <w:p w14:paraId="2011586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                                 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79F1B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Reduced depression and suicidality with GnRHa or GAHT</w:t>
            </w:r>
          </w:p>
          <w:p w14:paraId="653AC216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A34A03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After adjustment for temporal trends and potential confounders, 60% lower odds of depression and 73% lower odds of suicidality among youths who had initiated GnRHa or GAHT compared with youths who had not. 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F2DF67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Strengths: </w:t>
            </w:r>
            <w:r w:rsidRPr="00B23FAC">
              <w:rPr>
                <w:rFonts w:ascii="Times New Roman" w:eastAsia="Palatino Linotype" w:hAnsi="Times New Roman" w:cs="Times New Roman"/>
              </w:rPr>
              <w:t>Prospective design, control group</w:t>
            </w:r>
          </w:p>
          <w:p w14:paraId="53715D9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 xml:space="preserve">Limitations: </w:t>
            </w:r>
          </w:p>
          <w:p w14:paraId="3F1F53E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Small sample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size,  short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f/up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E3732E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  <w:tr w:rsidR="00B23FAC" w:rsidRPr="00B23FAC" w14:paraId="673786B1" w14:textId="77777777" w:rsidTr="00D953D7">
        <w:trPr>
          <w:trHeight w:val="4980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07D153A" w14:textId="0DF3323A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Turban 2020</w:t>
            </w:r>
            <w:r w:rsidR="0061489A" w:rsidRPr="00B23FAC">
              <w:rPr>
                <w:rFonts w:ascii="Times New Roman" w:eastAsia="Palatino Linotype" w:hAnsi="Times New Roman" w:cs="Times New Roman"/>
                <w:vertAlign w:val="superscript"/>
              </w:rPr>
              <w:t>5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6</w:t>
            </w:r>
          </w:p>
          <w:p w14:paraId="49A4143B" w14:textId="77777777" w:rsidR="0061489A" w:rsidRPr="00B23FAC" w:rsidRDefault="0061489A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36A9042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Cross-sectional </w:t>
            </w:r>
          </w:p>
          <w:p w14:paraId="0D12565E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3881F1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81D0E5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89 adults with GD who received GnRHa (AMAB, AFAB)</w:t>
            </w:r>
          </w:p>
          <w:p w14:paraId="3DBB2147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F8713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18-36 y (23.4±5)</w:t>
            </w:r>
          </w:p>
          <w:p w14:paraId="2C1B3AD2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unavailable</w:t>
            </w:r>
          </w:p>
          <w:p w14:paraId="2BAC51D9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1998-2015</w:t>
            </w:r>
          </w:p>
          <w:p w14:paraId="0CCCB738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USA</w:t>
            </w:r>
          </w:p>
          <w:p w14:paraId="249D9A77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D3B86C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3494 adults with GD, who wanted but did not receive GnRHa treatment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FAE0E9A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Psychological and behavioral assessments through questionnaires (Kessler Psychological Distress Scale (K6))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3731E6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(n=89)</w:t>
            </w:r>
            <w:r w:rsidRPr="00B23FAC">
              <w:rPr>
                <w:rFonts w:ascii="Times New Roman" w:eastAsia="Palatino Linotype" w:hAnsi="Times New Roman" w:cs="Times New Roman"/>
              </w:rPr>
              <w:br/>
              <w:t>vs not receive GnRHa (n=3405)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26179E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Subjects who received GnRHa vs not receiving, had lower odds of lifetime suicidal ideation. Adjusted odds ratio for demographic variables and level of family support for gender identity was 0.3</w:t>
            </w:r>
          </w:p>
          <w:p w14:paraId="708F819D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C6C624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Suicidal ideation and suicide attempts: </w:t>
            </w:r>
          </w:p>
          <w:p w14:paraId="7503A43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-past 12 m: ideation: OR 0.6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27BF00E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-lifetime: ideation: OR 0.3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  <w:p w14:paraId="6592B01A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Mental health and substance use:</w:t>
            </w:r>
          </w:p>
          <w:p w14:paraId="477ABDE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-past-month severe psychological distress:  OR 0.5 (</w:t>
            </w:r>
            <w:r w:rsidRPr="00B23FAC">
              <w:rPr>
                <w:rFonts w:ascii="Times New Roman" w:eastAsia="Palatino Linotype" w:hAnsi="Times New Roman" w:cs="Times New Roman"/>
                <w:i/>
              </w:rPr>
              <w:t>p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&lt;0.01)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4AD3DBF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3CAABAD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Control group </w:t>
            </w:r>
          </w:p>
          <w:p w14:paraId="7CCFC79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4A27D540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Cross-sectional design </w:t>
            </w:r>
          </w:p>
          <w:p w14:paraId="752CCE7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Missing data about the age of onset and the duration of PS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2FA943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⊕⊕⊖⊖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</w:t>
            </w:r>
          </w:p>
          <w:p w14:paraId="7215A15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Low quality evidence</w:t>
            </w:r>
          </w:p>
          <w:p w14:paraId="42DB040F" w14:textId="77777777" w:rsidR="00D953D7" w:rsidRPr="00B23FAC" w:rsidRDefault="00D953D7" w:rsidP="00D953D7">
            <w:pPr>
              <w:spacing w:after="24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</w:tr>
      <w:tr w:rsidR="00B23FAC" w:rsidRPr="00B23FAC" w14:paraId="2DCBADA8" w14:textId="77777777" w:rsidTr="00D953D7">
        <w:trPr>
          <w:trHeight w:val="6810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8372CEF" w14:textId="19557638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lastRenderedPageBreak/>
              <w:t>Van der Miesen 2020</w:t>
            </w:r>
            <w:r w:rsidR="00FA0498">
              <w:rPr>
                <w:rFonts w:ascii="Times New Roman" w:eastAsia="Palatino Linotype" w:hAnsi="Times New Roman" w:cs="Times New Roman"/>
                <w:vertAlign w:val="superscript"/>
              </w:rPr>
              <w:t>29</w:t>
            </w:r>
          </w:p>
          <w:p w14:paraId="57C3B799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</w:p>
          <w:p w14:paraId="0A673C35" w14:textId="77777777" w:rsidR="00D953D7" w:rsidRPr="00B23FAC" w:rsidRDefault="00D953D7" w:rsidP="00D953D7">
            <w:pPr>
              <w:spacing w:after="240"/>
              <w:ind w:right="10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Retrospective cross-sectional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57D65A4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178 adolescents with GD (68 AMAB, 110 AFAB) </w:t>
            </w:r>
          </w:p>
          <w:p w14:paraId="26B11ABF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35BE6E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Age: mean 16.8 y</w:t>
            </w:r>
          </w:p>
          <w:p w14:paraId="27B5293F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BFC11C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F/up: unavailable</w:t>
            </w:r>
          </w:p>
          <w:p w14:paraId="4041F7F9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DD2E3C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Period: 2012-2015</w:t>
            </w:r>
          </w:p>
          <w:p w14:paraId="5E79E8DE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5E76BBC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Region: Netherlands (Amsterdam)</w:t>
            </w:r>
          </w:p>
          <w:p w14:paraId="1A1CD208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EB2425D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Comparator: 272 adolescents with GD</w:t>
            </w:r>
          </w:p>
          <w:p w14:paraId="77A8D23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(116 AMAB, 156 AFAB) not receiving GnRHa; age: mean 14.5 y; 651 cisgender adolescents from the general population; age: mean 15.4 y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2962995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Psychological and behavioral assessments through questionnaires (YSR)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5C5EE40" w14:textId="77777777" w:rsidR="00D953D7" w:rsidRPr="00B23FAC" w:rsidRDefault="00D953D7" w:rsidP="00D953D7">
            <w:pPr>
              <w:ind w:right="-6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GnRHa vs</w:t>
            </w:r>
          </w:p>
          <w:p w14:paraId="45520523" w14:textId="77777777" w:rsidR="00D953D7" w:rsidRPr="00B23FAC" w:rsidRDefault="00D953D7" w:rsidP="00D953D7">
            <w:pPr>
              <w:ind w:right="-6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no treatment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69BDB2A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Before GnRHa clinic-referred adolescents showed more internalizing problems and reported increased self-harm/suicidality and poorer peer relations vs their age-equivalent peers</w:t>
            </w:r>
          </w:p>
          <w:p w14:paraId="5433D716" w14:textId="77777777" w:rsidR="00D953D7" w:rsidRPr="00B23FAC" w:rsidRDefault="00D953D7" w:rsidP="00D953D7">
            <w:pPr>
              <w:rPr>
                <w:rFonts w:ascii="Times New Roman" w:eastAsia="Times New Roman" w:hAnsi="Times New Roman" w:cs="Times New Roman"/>
              </w:rPr>
            </w:pPr>
            <w:r w:rsidRPr="00B23F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3CF588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 xml:space="preserve">Adolescents receiving GnRHa had fewer emotional and behavioral problems vs cisgender peers from the general population; self-harm/suicidality was similar to cisgender </w:t>
            </w:r>
            <w:proofErr w:type="gramStart"/>
            <w:r w:rsidRPr="00B23FAC">
              <w:rPr>
                <w:rFonts w:ascii="Times New Roman" w:eastAsia="Palatino Linotype" w:hAnsi="Times New Roman" w:cs="Times New Roman"/>
              </w:rPr>
              <w:t>peers</w:t>
            </w:r>
            <w:proofErr w:type="gramEnd"/>
            <w:r w:rsidRPr="00B23FAC">
              <w:rPr>
                <w:rFonts w:ascii="Times New Roman" w:eastAsia="Palatino Linotype" w:hAnsi="Times New Roman" w:cs="Times New Roman"/>
              </w:rPr>
              <w:t xml:space="preserve"> population</w:t>
            </w:r>
          </w:p>
          <w:p w14:paraId="24835430" w14:textId="77777777" w:rsidR="00D953D7" w:rsidRPr="00B23FAC" w:rsidRDefault="00D953D7" w:rsidP="00D953D7">
            <w:pPr>
              <w:spacing w:after="240"/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br/>
            </w:r>
            <w:r w:rsidRPr="00B23FAC">
              <w:rPr>
                <w:rFonts w:ascii="Times New Roman" w:eastAsia="Palatino Linotype" w:hAnsi="Times New Roman" w:cs="Times New Roman"/>
              </w:rPr>
              <w:br/>
            </w:r>
          </w:p>
        </w:tc>
        <w:tc>
          <w:tcPr>
            <w:tcW w:w="2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D416A8F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Strengths:</w:t>
            </w:r>
          </w:p>
          <w:p w14:paraId="31A1E7D6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Control group</w:t>
            </w:r>
          </w:p>
          <w:p w14:paraId="2B47C832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  <w:u w:val="single"/>
              </w:rPr>
            </w:pPr>
            <w:r w:rsidRPr="00B23FAC">
              <w:rPr>
                <w:rFonts w:ascii="Times New Roman" w:eastAsia="Palatino Linotype" w:hAnsi="Times New Roman" w:cs="Times New Roman"/>
                <w:u w:val="single"/>
              </w:rPr>
              <w:t>Limitations:</w:t>
            </w:r>
          </w:p>
          <w:p w14:paraId="7BD7FCA1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Times New Roman" w:eastAsia="Palatino Linotype" w:hAnsi="Times New Roman" w:cs="Times New Roman"/>
              </w:rPr>
              <w:t>Cross-sectional design, no long-term causal inference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8039DDB" w14:textId="77777777" w:rsidR="00D953D7" w:rsidRPr="00B23FAC" w:rsidRDefault="00D953D7" w:rsidP="00D953D7">
            <w:pPr>
              <w:rPr>
                <w:rFonts w:ascii="Times New Roman" w:eastAsia="Palatino Linotype" w:hAnsi="Times New Roman" w:cs="Times New Roman"/>
              </w:rPr>
            </w:pPr>
            <w:r w:rsidRPr="00B23FAC">
              <w:rPr>
                <w:rFonts w:ascii="Cambria Math" w:eastAsia="Cambria Math" w:hAnsi="Cambria Math" w:cs="Cambria Math"/>
              </w:rPr>
              <w:t>⊕⊕⊕⊖</w:t>
            </w:r>
            <w:r w:rsidRPr="00B23FAC">
              <w:rPr>
                <w:rFonts w:ascii="Times New Roman" w:eastAsia="Palatino Linotype" w:hAnsi="Times New Roman" w:cs="Times New Roman"/>
              </w:rPr>
              <w:t xml:space="preserve"> Moderate quality evidence</w:t>
            </w:r>
          </w:p>
        </w:tc>
      </w:tr>
    </w:tbl>
    <w:p w14:paraId="79D1CA5D" w14:textId="77777777" w:rsidR="003E57D7" w:rsidRPr="00B23FAC" w:rsidRDefault="003E57D7" w:rsidP="00A73FEE">
      <w:pPr>
        <w:spacing w:before="280" w:after="280"/>
        <w:rPr>
          <w:rFonts w:ascii="Times New Roman" w:eastAsia="Palatino Linotype" w:hAnsi="Times New Roman" w:cs="Times New Roman"/>
        </w:rPr>
      </w:pPr>
    </w:p>
    <w:sectPr w:rsidR="003E57D7" w:rsidRPr="00B23FAC">
      <w:pgSz w:w="16840" w:h="11900" w:orient="landscape"/>
      <w:pgMar w:top="1134" w:right="1134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7D7"/>
    <w:rsid w:val="002D14AA"/>
    <w:rsid w:val="003E57D7"/>
    <w:rsid w:val="005C0FBC"/>
    <w:rsid w:val="0061489A"/>
    <w:rsid w:val="007D74DA"/>
    <w:rsid w:val="009B4180"/>
    <w:rsid w:val="00A73FEE"/>
    <w:rsid w:val="00A809F7"/>
    <w:rsid w:val="00AA45EE"/>
    <w:rsid w:val="00AD70CD"/>
    <w:rsid w:val="00B23FAC"/>
    <w:rsid w:val="00C66480"/>
    <w:rsid w:val="00D135AD"/>
    <w:rsid w:val="00D953D7"/>
    <w:rsid w:val="00DA0607"/>
    <w:rsid w:val="00EB748B"/>
    <w:rsid w:val="00F20322"/>
    <w:rsid w:val="00FA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C8A2"/>
  <w15:docId w15:val="{2B5C864A-6E42-5346-BB65-A253E2DC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7950"/>
  </w:style>
  <w:style w:type="paragraph" w:styleId="Titolo1">
    <w:name w:val="heading 1"/>
    <w:basedOn w:val="Normale"/>
    <w:next w:val="Normale"/>
    <w:uiPriority w:val="9"/>
    <w:qFormat/>
    <w:rsid w:val="00CA4D6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A4D6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A4D6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CA4D6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CA4D6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A4D6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CA4D6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">
    <w:name w:val="Normale1"/>
    <w:rsid w:val="00CA4D6E"/>
  </w:style>
  <w:style w:type="table" w:customStyle="1" w:styleId="TableNormal2">
    <w:name w:val="Table Normal2"/>
    <w:rsid w:val="00CA4D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A4D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CA4D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CA4D6E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410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5287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D3062A"/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rsid w:val="00CA4D6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5"/>
    <w:rsid w:val="00CA4D6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f2">
    <w:basedOn w:val="TableNormal4"/>
    <w:rsid w:val="00CA4D6E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character" w:styleId="Enfasigrassetto">
    <w:name w:val="Strong"/>
    <w:basedOn w:val="Carpredefinitoparagrafo"/>
    <w:uiPriority w:val="22"/>
    <w:qFormat/>
    <w:rsid w:val="00D71798"/>
    <w:rPr>
      <w:b/>
      <w:bCs/>
    </w:rPr>
  </w:style>
  <w:style w:type="character" w:customStyle="1" w:styleId="elsevierstyleitalic">
    <w:name w:val="elsevierstyleitalic"/>
    <w:basedOn w:val="Carpredefinitoparagrafo"/>
    <w:rsid w:val="00DB79A6"/>
  </w:style>
  <w:style w:type="table" w:customStyle="1" w:styleId="af3">
    <w:basedOn w:val="TableNormal3"/>
    <w:rsid w:val="00CA4D6E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FFFFF"/>
    </w:tcPr>
  </w:style>
  <w:style w:type="paragraph" w:styleId="Paragrafoelenco">
    <w:name w:val="List Paragraph"/>
    <w:basedOn w:val="Normale"/>
    <w:uiPriority w:val="34"/>
    <w:qFormat/>
    <w:rsid w:val="00B30219"/>
    <w:pPr>
      <w:ind w:left="720"/>
      <w:contextualSpacing/>
    </w:p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3cTYlnWeZatM5ng7we9uCMRC5g==">CgMxLjA4AHIhMXc3SXZOOTJCRjI2SjUtcU9EM3NvejdES014UFR2TU9x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15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Franceschi</dc:creator>
  <cp:lastModifiedBy>Roberto Franceschi </cp:lastModifiedBy>
  <cp:revision>12</cp:revision>
  <dcterms:created xsi:type="dcterms:W3CDTF">2024-08-22T07:12:00Z</dcterms:created>
  <dcterms:modified xsi:type="dcterms:W3CDTF">2025-05-05T21:50:00Z</dcterms:modified>
</cp:coreProperties>
</file>